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93" w:rsidRDefault="00132B93" w:rsidP="00132B93">
      <w:pPr>
        <w:tabs>
          <w:tab w:val="left" w:pos="2040"/>
        </w:tabs>
        <w:jc w:val="both"/>
        <w:rPr>
          <w:rFonts w:asciiTheme="majorHAnsi" w:hAnsiTheme="majorHAnsi"/>
          <w:sz w:val="24"/>
          <w:szCs w:val="24"/>
        </w:rPr>
      </w:pPr>
      <w:r w:rsidRPr="00132B93">
        <w:rPr>
          <w:rFonts w:asciiTheme="majorHAnsi" w:hAnsiTheme="majorHAnsi"/>
          <w:noProof/>
          <w:sz w:val="24"/>
          <w:szCs w:val="24"/>
          <w:lang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19050</wp:posOffset>
            </wp:positionV>
            <wp:extent cx="1095375" cy="1152525"/>
            <wp:effectExtent l="19050" t="0" r="9525" b="0"/>
            <wp:wrapNone/>
            <wp:docPr id="1" name="Picture 2" descr="D:\Wallpaper\Picture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allpaper\Picture1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B93" w:rsidRPr="00132B93" w:rsidRDefault="00132B93" w:rsidP="00132B93">
      <w:pPr>
        <w:rPr>
          <w:rFonts w:asciiTheme="majorHAnsi" w:hAnsiTheme="majorHAnsi"/>
          <w:sz w:val="24"/>
          <w:szCs w:val="24"/>
        </w:rPr>
      </w:pPr>
    </w:p>
    <w:p w:rsidR="00132B93" w:rsidRPr="00132B93" w:rsidRDefault="00132B93" w:rsidP="00132B93">
      <w:pPr>
        <w:rPr>
          <w:rFonts w:asciiTheme="majorHAnsi" w:hAnsiTheme="majorHAnsi"/>
          <w:sz w:val="24"/>
          <w:szCs w:val="24"/>
        </w:rPr>
      </w:pPr>
    </w:p>
    <w:p w:rsidR="00132B93" w:rsidRDefault="00132B93" w:rsidP="00132B93">
      <w:pPr>
        <w:rPr>
          <w:rFonts w:asciiTheme="majorHAnsi" w:hAnsiTheme="majorHAnsi"/>
          <w:sz w:val="24"/>
          <w:szCs w:val="24"/>
        </w:rPr>
      </w:pPr>
    </w:p>
    <w:p w:rsidR="00132B93" w:rsidRDefault="00791602" w:rsidP="00132B9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PERJANJIAN KINERJA TAHUN </w:t>
      </w:r>
      <w:r w:rsidR="00CC43B2">
        <w:rPr>
          <w:rFonts w:asciiTheme="majorHAnsi" w:hAnsiTheme="majorHAnsi"/>
          <w:b/>
          <w:sz w:val="28"/>
          <w:szCs w:val="28"/>
        </w:rPr>
        <w:t>2018</w:t>
      </w:r>
    </w:p>
    <w:p w:rsidR="00132B93" w:rsidRDefault="00132B93" w:rsidP="00132B93">
      <w:pPr>
        <w:jc w:val="both"/>
        <w:rPr>
          <w:rFonts w:asciiTheme="majorHAnsi" w:hAnsiTheme="majorHAnsi"/>
          <w:sz w:val="24"/>
          <w:szCs w:val="24"/>
        </w:rPr>
      </w:pPr>
    </w:p>
    <w:p w:rsidR="00132B93" w:rsidRDefault="00132B93" w:rsidP="00132B93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Dalam rangka mewujudkan manajemen pemerintah yang afektif, transfaran dan akuntable serta berorientasi pada hasil, kami yang bertanda tangan di bawah ini :</w:t>
      </w:r>
    </w:p>
    <w:p w:rsidR="00132B93" w:rsidRDefault="00791602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Nama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: </w:t>
      </w:r>
      <w:r w:rsidR="00CC43B2">
        <w:rPr>
          <w:rFonts w:asciiTheme="majorHAnsi" w:hAnsiTheme="majorHAnsi"/>
          <w:sz w:val="24"/>
          <w:szCs w:val="24"/>
        </w:rPr>
        <w:t>DARNO BAKAR, SE.,MM</w:t>
      </w:r>
    </w:p>
    <w:p w:rsidR="00791602" w:rsidRDefault="00791602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Jabatan</w:t>
      </w:r>
      <w:r>
        <w:rPr>
          <w:rFonts w:asciiTheme="majorHAnsi" w:hAnsiTheme="majorHAnsi"/>
          <w:sz w:val="24"/>
          <w:szCs w:val="24"/>
        </w:rPr>
        <w:tab/>
        <w:t xml:space="preserve">: </w:t>
      </w:r>
      <w:r w:rsidR="00132B93">
        <w:rPr>
          <w:rFonts w:asciiTheme="majorHAnsi" w:hAnsiTheme="majorHAnsi"/>
          <w:sz w:val="24"/>
          <w:szCs w:val="24"/>
        </w:rPr>
        <w:t xml:space="preserve">Kepala </w:t>
      </w:r>
      <w:r>
        <w:rPr>
          <w:rFonts w:asciiTheme="majorHAnsi" w:hAnsiTheme="majorHAnsi"/>
          <w:sz w:val="24"/>
          <w:szCs w:val="24"/>
        </w:rPr>
        <w:t>Dinas Perumahan dan Kawasan Permukiman</w:t>
      </w: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Kabupaten Empat Lawang</w:t>
      </w: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Selanjutnya disebut pihak pertama</w:t>
      </w:r>
    </w:p>
    <w:p w:rsidR="00CC43B2" w:rsidRDefault="00CC43B2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Nama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: H. </w:t>
      </w:r>
      <w:r w:rsidR="00DB1B49">
        <w:rPr>
          <w:rFonts w:asciiTheme="majorHAnsi" w:hAnsiTheme="majorHAnsi"/>
          <w:sz w:val="24"/>
          <w:szCs w:val="24"/>
        </w:rPr>
        <w:t>SYAHRIL HANAFIAH</w:t>
      </w: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Jabatan</w:t>
      </w:r>
      <w:r>
        <w:rPr>
          <w:rFonts w:asciiTheme="majorHAnsi" w:hAnsiTheme="majorHAnsi"/>
          <w:sz w:val="24"/>
          <w:szCs w:val="24"/>
        </w:rPr>
        <w:tab/>
        <w:t>: Bupati Empat Lawang</w:t>
      </w: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Selanjunya disebut pihak kedua</w:t>
      </w: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132B93" w:rsidRDefault="00132B93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Pihak pertama berjanji akan mewujudkan target kinerja yang seharusnya sesuai lampiran perjanjian ini, dalam rangka mencapai target kinerja jangka menengah seperti yang telah ditet</w:t>
      </w:r>
      <w:r w:rsidR="00450F14">
        <w:rPr>
          <w:rFonts w:asciiTheme="majorHAnsi" w:hAnsiTheme="majorHAnsi"/>
          <w:sz w:val="24"/>
          <w:szCs w:val="24"/>
        </w:rPr>
        <w:t>apkan dalam dokumen perencanaan. Keberhasilan dan kegagalan pencapaian target kinerja tersebut menjadi tanggung jawab kami.</w:t>
      </w:r>
    </w:p>
    <w:p w:rsidR="00450F14" w:rsidRDefault="00450F14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450F14" w:rsidRDefault="00450F14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Pihak kedua akan melakukan supervisi yang diperlukan serta akan melakukan evaluasi terhadap capaian kinerja dan perjanjian ini dan</w:t>
      </w:r>
      <w:r w:rsidR="00741A01">
        <w:rPr>
          <w:rFonts w:asciiTheme="majorHAnsi" w:hAnsiTheme="majorHAnsi"/>
          <w:sz w:val="24"/>
          <w:szCs w:val="24"/>
        </w:rPr>
        <w:t xml:space="preserve"> mengambil tindakan yang diperlu</w:t>
      </w:r>
      <w:r>
        <w:rPr>
          <w:rFonts w:asciiTheme="majorHAnsi" w:hAnsiTheme="majorHAnsi"/>
          <w:sz w:val="24"/>
          <w:szCs w:val="24"/>
        </w:rPr>
        <w:t>kan dalam rangka pemberian penghargaan dan sanksi.</w:t>
      </w:r>
    </w:p>
    <w:p w:rsidR="00450F14" w:rsidRDefault="00450F14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CC43B2" w:rsidRDefault="00CC43B2" w:rsidP="00132B9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450F14" w:rsidRDefault="00450F14" w:rsidP="00A01BF3">
      <w:pPr>
        <w:spacing w:after="0" w:line="360" w:lineRule="auto"/>
        <w:ind w:firstLine="567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Tebing tinggi, </w:t>
      </w:r>
      <w:r w:rsidRPr="00A01BF3">
        <w:rPr>
          <w:rFonts w:asciiTheme="majorHAnsi" w:hAnsiTheme="majorHAnsi"/>
          <w:color w:val="FFFFFF" w:themeColor="background1"/>
          <w:sz w:val="24"/>
          <w:szCs w:val="24"/>
        </w:rPr>
        <w:t>03 februari</w:t>
      </w:r>
      <w:r w:rsidR="00CC43B2">
        <w:rPr>
          <w:rFonts w:asciiTheme="majorHAnsi" w:hAnsiTheme="majorHAnsi"/>
          <w:sz w:val="24"/>
          <w:szCs w:val="24"/>
        </w:rPr>
        <w:t>2018</w:t>
      </w:r>
    </w:p>
    <w:p w:rsidR="000F743D" w:rsidRDefault="000F743D" w:rsidP="00450F14">
      <w:pPr>
        <w:spacing w:after="0" w:line="360" w:lineRule="auto"/>
        <w:ind w:firstLine="4678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450F14" w:rsidTr="000F743D">
        <w:tc>
          <w:tcPr>
            <w:tcW w:w="4789" w:type="dxa"/>
          </w:tcPr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Pihak Kedua,</w:t>
            </w: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0F743D" w:rsidRDefault="000F743D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50F14" w:rsidRPr="00DD4BAE" w:rsidRDefault="00450F14" w:rsidP="00450F1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D4BAE">
              <w:rPr>
                <w:rFonts w:asciiTheme="majorHAnsi" w:hAnsiTheme="majorHAnsi"/>
                <w:b/>
                <w:sz w:val="24"/>
                <w:szCs w:val="24"/>
              </w:rPr>
              <w:t xml:space="preserve">H. SYAHRIL </w:t>
            </w:r>
            <w:r w:rsidRPr="00791602">
              <w:rPr>
                <w:rFonts w:asciiTheme="majorHAnsi" w:hAnsiTheme="majorHAnsi"/>
                <w:b/>
                <w:sz w:val="24"/>
                <w:szCs w:val="24"/>
              </w:rPr>
              <w:t>HANAFIAH</w:t>
            </w:r>
          </w:p>
        </w:tc>
        <w:tc>
          <w:tcPr>
            <w:tcW w:w="4789" w:type="dxa"/>
          </w:tcPr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Pihak Pertama,</w:t>
            </w: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0F743D" w:rsidRDefault="000F743D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50F14" w:rsidRDefault="00450F14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91602" w:rsidRPr="00791602" w:rsidRDefault="00CC43B2" w:rsidP="00450F14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DARNO BAKAR, SE.,MM</w:t>
            </w:r>
          </w:p>
          <w:p w:rsidR="00450F14" w:rsidRDefault="00791602" w:rsidP="00450F1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91602">
              <w:rPr>
                <w:rFonts w:asciiTheme="majorHAnsi" w:hAnsiTheme="majorHAnsi"/>
                <w:b/>
                <w:sz w:val="24"/>
                <w:szCs w:val="24"/>
              </w:rPr>
              <w:t>NIP</w:t>
            </w:r>
            <w:r w:rsidR="00450F14" w:rsidRPr="00791602">
              <w:rPr>
                <w:rFonts w:asciiTheme="majorHAnsi" w:hAnsiTheme="majorHAnsi"/>
                <w:b/>
                <w:sz w:val="24"/>
                <w:szCs w:val="24"/>
              </w:rPr>
              <w:t xml:space="preserve">. </w:t>
            </w:r>
            <w:r w:rsidR="00CC43B2">
              <w:rPr>
                <w:rFonts w:asciiTheme="majorHAnsi" w:hAnsiTheme="majorHAnsi" w:cs="Arial"/>
                <w:b/>
                <w:sz w:val="24"/>
                <w:szCs w:val="24"/>
              </w:rPr>
              <w:t>196212281985121 001</w:t>
            </w:r>
          </w:p>
        </w:tc>
      </w:tr>
    </w:tbl>
    <w:p w:rsidR="000818CA" w:rsidRDefault="000818CA" w:rsidP="000818CA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8E4A2F" w:rsidRDefault="008E4A2F" w:rsidP="000818C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E4A2F" w:rsidRDefault="008E4A2F" w:rsidP="000818C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E4A2F" w:rsidRDefault="008E4A2F" w:rsidP="000818C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0F743D" w:rsidRPr="000F743D" w:rsidRDefault="00791602" w:rsidP="000818C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PERJANJIAN KINERJA TAHUN </w:t>
      </w:r>
      <w:r w:rsidR="00CC43B2">
        <w:rPr>
          <w:rFonts w:ascii="Cambria" w:hAnsi="Cambria"/>
          <w:b/>
          <w:sz w:val="28"/>
          <w:szCs w:val="28"/>
        </w:rPr>
        <w:t>2018</w:t>
      </w:r>
    </w:p>
    <w:p w:rsidR="000F743D" w:rsidRPr="000F743D" w:rsidRDefault="00791602" w:rsidP="000F743D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DINAS PERUMAHAN DAN KAWASAN PERMUKIMAN</w:t>
      </w:r>
    </w:p>
    <w:p w:rsidR="000F743D" w:rsidRDefault="000F743D" w:rsidP="00FF4F3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0F743D">
        <w:rPr>
          <w:rFonts w:ascii="Cambria" w:hAnsi="Cambria"/>
          <w:b/>
          <w:sz w:val="28"/>
          <w:szCs w:val="28"/>
        </w:rPr>
        <w:t>KABUPATEN EMPAT LAWANG</w:t>
      </w:r>
    </w:p>
    <w:p w:rsidR="000818CA" w:rsidRDefault="000818CA" w:rsidP="00FF4F3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0818CA" w:rsidRDefault="000818CA" w:rsidP="00FF4F3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0818CA" w:rsidRDefault="000818CA" w:rsidP="00FF4F3A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828"/>
        <w:gridCol w:w="3543"/>
        <w:gridCol w:w="1985"/>
      </w:tblGrid>
      <w:tr w:rsidR="000F743D" w:rsidTr="000F743D">
        <w:tc>
          <w:tcPr>
            <w:tcW w:w="3828" w:type="dxa"/>
          </w:tcPr>
          <w:p w:rsidR="000F743D" w:rsidRPr="000F743D" w:rsidRDefault="000F743D" w:rsidP="000F743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Sasaran Program/Kegiatan</w:t>
            </w:r>
          </w:p>
        </w:tc>
        <w:tc>
          <w:tcPr>
            <w:tcW w:w="3543" w:type="dxa"/>
          </w:tcPr>
          <w:p w:rsidR="000F743D" w:rsidRPr="000F743D" w:rsidRDefault="000F743D" w:rsidP="000F743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Indikator Kinerja</w:t>
            </w:r>
          </w:p>
        </w:tc>
        <w:tc>
          <w:tcPr>
            <w:tcW w:w="1985" w:type="dxa"/>
          </w:tcPr>
          <w:p w:rsidR="000F743D" w:rsidRPr="000F743D" w:rsidRDefault="000F743D" w:rsidP="000F743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Target</w:t>
            </w:r>
          </w:p>
          <w:p w:rsidR="000F743D" w:rsidRPr="000F743D" w:rsidRDefault="000F743D" w:rsidP="000F743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F743D" w:rsidTr="00DF195B">
        <w:tc>
          <w:tcPr>
            <w:tcW w:w="3828" w:type="dxa"/>
          </w:tcPr>
          <w:p w:rsidR="000F743D" w:rsidRPr="000F743D" w:rsidRDefault="000F743D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Pelayanan Administrasi Perkantoran</w:t>
            </w:r>
          </w:p>
        </w:tc>
        <w:tc>
          <w:tcPr>
            <w:tcW w:w="3543" w:type="dxa"/>
          </w:tcPr>
          <w:p w:rsidR="000F743D" w:rsidRPr="000F743D" w:rsidRDefault="000F743D" w:rsidP="000F743D">
            <w:pPr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Meningkatkan Pelayanan Administrasi Perkantoran</w:t>
            </w:r>
          </w:p>
        </w:tc>
        <w:tc>
          <w:tcPr>
            <w:tcW w:w="1985" w:type="dxa"/>
            <w:vAlign w:val="center"/>
          </w:tcPr>
          <w:p w:rsidR="000F743D" w:rsidRPr="000F743D" w:rsidRDefault="000F743D" w:rsidP="00DF195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0F743D" w:rsidTr="00DF195B">
        <w:tc>
          <w:tcPr>
            <w:tcW w:w="3828" w:type="dxa"/>
          </w:tcPr>
          <w:p w:rsidR="000F743D" w:rsidRDefault="000F743D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Peningkatan Sarana Dan Prasarana Aparatur</w:t>
            </w:r>
          </w:p>
        </w:tc>
        <w:tc>
          <w:tcPr>
            <w:tcW w:w="3543" w:type="dxa"/>
          </w:tcPr>
          <w:p w:rsidR="000F743D" w:rsidRPr="000F743D" w:rsidRDefault="007A7511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Sarana Dan Prasarana Aparatur</w:t>
            </w:r>
          </w:p>
        </w:tc>
        <w:tc>
          <w:tcPr>
            <w:tcW w:w="1985" w:type="dxa"/>
            <w:vAlign w:val="center"/>
          </w:tcPr>
          <w:p w:rsidR="000F743D" w:rsidRPr="000F743D" w:rsidRDefault="007A7511" w:rsidP="00DF195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7A7511" w:rsidTr="00DF195B">
        <w:tc>
          <w:tcPr>
            <w:tcW w:w="3828" w:type="dxa"/>
          </w:tcPr>
          <w:p w:rsidR="007A7511" w:rsidRDefault="007A7511" w:rsidP="00F708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Peningkatan Kapasitas Sumber Daya Aparatur</w:t>
            </w:r>
          </w:p>
        </w:tc>
        <w:tc>
          <w:tcPr>
            <w:tcW w:w="3543" w:type="dxa"/>
          </w:tcPr>
          <w:p w:rsidR="007A7511" w:rsidRDefault="007A7511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Sumber Daya Aparatur</w:t>
            </w:r>
          </w:p>
        </w:tc>
        <w:tc>
          <w:tcPr>
            <w:tcW w:w="1985" w:type="dxa"/>
            <w:vAlign w:val="center"/>
          </w:tcPr>
          <w:p w:rsidR="007A7511" w:rsidRPr="000F743D" w:rsidRDefault="007A7511" w:rsidP="00DF195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7A7511" w:rsidTr="00DF195B">
        <w:tc>
          <w:tcPr>
            <w:tcW w:w="3828" w:type="dxa"/>
          </w:tcPr>
          <w:p w:rsidR="007A7511" w:rsidRDefault="007A7511" w:rsidP="00F7088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Program Peningkatan </w:t>
            </w:r>
            <w:r w:rsidR="00695489">
              <w:rPr>
                <w:rFonts w:ascii="Cambria" w:hAnsi="Cambria"/>
                <w:sz w:val="24"/>
                <w:szCs w:val="24"/>
              </w:rPr>
              <w:t xml:space="preserve">Pengembangan </w:t>
            </w:r>
            <w:r>
              <w:rPr>
                <w:rFonts w:ascii="Cambria" w:hAnsi="Cambria"/>
                <w:sz w:val="24"/>
                <w:szCs w:val="24"/>
              </w:rPr>
              <w:t>Sistem Pelaporan Capaian Kinerja Dan Keuangan</w:t>
            </w:r>
          </w:p>
        </w:tc>
        <w:tc>
          <w:tcPr>
            <w:tcW w:w="3543" w:type="dxa"/>
          </w:tcPr>
          <w:p w:rsidR="007A7511" w:rsidRDefault="007A7511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Meningkatkan </w:t>
            </w:r>
            <w:r w:rsidR="00DF195B">
              <w:rPr>
                <w:rFonts w:ascii="Cambria" w:hAnsi="Cambria"/>
                <w:sz w:val="24"/>
                <w:szCs w:val="24"/>
              </w:rPr>
              <w:t>Pengembangan Sistem Pelaporan Capaian Kinerja Dan Keuangan</w:t>
            </w:r>
          </w:p>
        </w:tc>
        <w:tc>
          <w:tcPr>
            <w:tcW w:w="1985" w:type="dxa"/>
            <w:vAlign w:val="center"/>
          </w:tcPr>
          <w:p w:rsidR="007A7511" w:rsidRPr="000F743D" w:rsidRDefault="007A7511" w:rsidP="00DF195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F743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7A7511" w:rsidTr="00DF195B">
        <w:tc>
          <w:tcPr>
            <w:tcW w:w="3828" w:type="dxa"/>
          </w:tcPr>
          <w:p w:rsidR="007A7511" w:rsidRDefault="007A7511" w:rsidP="0069548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Program </w:t>
            </w:r>
            <w:r w:rsidR="00695489">
              <w:rPr>
                <w:rFonts w:ascii="Cambria" w:hAnsi="Cambria"/>
                <w:sz w:val="24"/>
                <w:szCs w:val="24"/>
              </w:rPr>
              <w:t>Pengembangan Perumahan</w:t>
            </w:r>
          </w:p>
        </w:tc>
        <w:tc>
          <w:tcPr>
            <w:tcW w:w="3543" w:type="dxa"/>
          </w:tcPr>
          <w:p w:rsidR="007A7511" w:rsidRDefault="007A7511" w:rsidP="0069548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Meningkatkan </w:t>
            </w:r>
            <w:r w:rsidR="00695489">
              <w:rPr>
                <w:rFonts w:ascii="Cambria" w:hAnsi="Cambria"/>
                <w:sz w:val="24"/>
                <w:szCs w:val="24"/>
              </w:rPr>
              <w:t>Pengembangan Perumahan</w:t>
            </w:r>
          </w:p>
        </w:tc>
        <w:tc>
          <w:tcPr>
            <w:tcW w:w="1985" w:type="dxa"/>
            <w:vAlign w:val="center"/>
          </w:tcPr>
          <w:p w:rsidR="007A7511" w:rsidRDefault="007A7511" w:rsidP="00DF195B">
            <w:pPr>
              <w:jc w:val="center"/>
            </w:pPr>
            <w:r w:rsidRPr="00E77D01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7A7511" w:rsidTr="00DF195B">
        <w:tc>
          <w:tcPr>
            <w:tcW w:w="3828" w:type="dxa"/>
          </w:tcPr>
          <w:p w:rsidR="007A7511" w:rsidRDefault="007A7511" w:rsidP="0069548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Program </w:t>
            </w:r>
            <w:r w:rsidR="00695489">
              <w:rPr>
                <w:rFonts w:ascii="Cambria" w:hAnsi="Cambria"/>
                <w:sz w:val="24"/>
                <w:szCs w:val="24"/>
              </w:rPr>
              <w:t>Penataan Penguasaan, Pemilikan, Peng</w:t>
            </w:r>
            <w:r w:rsidR="00CC43B2">
              <w:rPr>
                <w:rFonts w:ascii="Cambria" w:hAnsi="Cambria"/>
                <w:sz w:val="24"/>
                <w:szCs w:val="24"/>
              </w:rPr>
              <w:t>g</w:t>
            </w:r>
            <w:r w:rsidR="00695489">
              <w:rPr>
                <w:rFonts w:ascii="Cambria" w:hAnsi="Cambria"/>
                <w:sz w:val="24"/>
                <w:szCs w:val="24"/>
              </w:rPr>
              <w:t>unaan dan Pemanfaatan Tanah</w:t>
            </w:r>
          </w:p>
        </w:tc>
        <w:tc>
          <w:tcPr>
            <w:tcW w:w="3543" w:type="dxa"/>
          </w:tcPr>
          <w:p w:rsidR="007A7511" w:rsidRDefault="007A7511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Meningkatkan </w:t>
            </w:r>
            <w:r w:rsidR="00695489">
              <w:rPr>
                <w:rFonts w:ascii="Cambria" w:hAnsi="Cambria"/>
                <w:sz w:val="24"/>
                <w:szCs w:val="24"/>
              </w:rPr>
              <w:t>Penataan Penguasaan, Pemilikan, Pengunaan dan Pemanfaatan Tanah</w:t>
            </w:r>
          </w:p>
        </w:tc>
        <w:tc>
          <w:tcPr>
            <w:tcW w:w="1985" w:type="dxa"/>
            <w:vAlign w:val="center"/>
          </w:tcPr>
          <w:p w:rsidR="007A7511" w:rsidRDefault="007A7511" w:rsidP="00DF195B">
            <w:pPr>
              <w:jc w:val="center"/>
            </w:pPr>
            <w:r w:rsidRPr="00E77D01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CC43B2" w:rsidTr="00DF195B">
        <w:tc>
          <w:tcPr>
            <w:tcW w:w="3828" w:type="dxa"/>
          </w:tcPr>
          <w:p w:rsidR="00CC43B2" w:rsidRDefault="00CC43B2" w:rsidP="00CC43B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Penyelesaian Konflik – konflik Pertanahan</w:t>
            </w:r>
          </w:p>
        </w:tc>
        <w:tc>
          <w:tcPr>
            <w:tcW w:w="3543" w:type="dxa"/>
          </w:tcPr>
          <w:p w:rsidR="00CC43B2" w:rsidRDefault="00CC43B2" w:rsidP="00CC43B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Penyelesaian Konflik – konflik Pertanahan</w:t>
            </w:r>
          </w:p>
        </w:tc>
        <w:tc>
          <w:tcPr>
            <w:tcW w:w="1985" w:type="dxa"/>
            <w:vAlign w:val="center"/>
          </w:tcPr>
          <w:p w:rsidR="00CC43B2" w:rsidRDefault="00CC43B2" w:rsidP="00CC43B2">
            <w:pPr>
              <w:jc w:val="center"/>
            </w:pPr>
            <w:r w:rsidRPr="00C933DC">
              <w:rPr>
                <w:rFonts w:asciiTheme="majorHAnsi" w:hAnsiTheme="majorHAnsi"/>
                <w:sz w:val="24"/>
                <w:szCs w:val="24"/>
              </w:rPr>
              <w:t>100%</w:t>
            </w:r>
          </w:p>
        </w:tc>
      </w:tr>
      <w:tr w:rsidR="00CC43B2" w:rsidTr="00DF195B">
        <w:tc>
          <w:tcPr>
            <w:tcW w:w="3828" w:type="dxa"/>
          </w:tcPr>
          <w:p w:rsidR="00CC43B2" w:rsidRDefault="00CC43B2" w:rsidP="00BF6A5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Pembinaan dan Pengembangan Ketenagalistrikan</w:t>
            </w:r>
          </w:p>
        </w:tc>
        <w:tc>
          <w:tcPr>
            <w:tcW w:w="3543" w:type="dxa"/>
          </w:tcPr>
          <w:p w:rsidR="00CC43B2" w:rsidRDefault="00CC43B2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Pembinaan dan Pengembangan Ketenagalistrikan</w:t>
            </w:r>
          </w:p>
        </w:tc>
        <w:tc>
          <w:tcPr>
            <w:tcW w:w="1985" w:type="dxa"/>
            <w:vAlign w:val="center"/>
          </w:tcPr>
          <w:p w:rsidR="00CC43B2" w:rsidRPr="00E77D01" w:rsidRDefault="00CC43B2" w:rsidP="00DF195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D48D1">
              <w:rPr>
                <w:rFonts w:asciiTheme="majorHAnsi" w:hAnsiTheme="majorHAnsi"/>
                <w:sz w:val="24"/>
                <w:szCs w:val="24"/>
              </w:rPr>
              <w:t>100%</w:t>
            </w:r>
          </w:p>
        </w:tc>
      </w:tr>
      <w:tr w:rsidR="00FF4F3A" w:rsidTr="00DF195B">
        <w:tc>
          <w:tcPr>
            <w:tcW w:w="3828" w:type="dxa"/>
          </w:tcPr>
          <w:p w:rsidR="00FF4F3A" w:rsidRDefault="00FF4F3A" w:rsidP="00C650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Perbaikan Perumahan Akibat Bencana Alam/Sosial</w:t>
            </w:r>
          </w:p>
        </w:tc>
        <w:tc>
          <w:tcPr>
            <w:tcW w:w="3543" w:type="dxa"/>
          </w:tcPr>
          <w:p w:rsidR="00FF4F3A" w:rsidRDefault="00FF4F3A" w:rsidP="00C6501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Perbaikan Perumahan Akibat Bencana Alam/Sosial</w:t>
            </w:r>
          </w:p>
        </w:tc>
        <w:tc>
          <w:tcPr>
            <w:tcW w:w="1985" w:type="dxa"/>
            <w:vAlign w:val="center"/>
          </w:tcPr>
          <w:p w:rsidR="00FF4F3A" w:rsidRDefault="00FF4F3A" w:rsidP="00C65011">
            <w:pPr>
              <w:jc w:val="center"/>
            </w:pPr>
            <w:r w:rsidRPr="00C933DC">
              <w:rPr>
                <w:rFonts w:asciiTheme="majorHAnsi" w:hAnsiTheme="majorHAnsi"/>
                <w:sz w:val="24"/>
                <w:szCs w:val="24"/>
              </w:rPr>
              <w:t>100%</w:t>
            </w:r>
          </w:p>
        </w:tc>
      </w:tr>
      <w:tr w:rsidR="00FF4F3A" w:rsidTr="00DF195B">
        <w:tc>
          <w:tcPr>
            <w:tcW w:w="3828" w:type="dxa"/>
          </w:tcPr>
          <w:p w:rsidR="00FF4F3A" w:rsidRDefault="00FF4F3A" w:rsidP="00BF6A5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Kawasan Permukiman</w:t>
            </w:r>
          </w:p>
        </w:tc>
        <w:tc>
          <w:tcPr>
            <w:tcW w:w="3543" w:type="dxa"/>
          </w:tcPr>
          <w:p w:rsidR="00FF4F3A" w:rsidRDefault="00FF4F3A" w:rsidP="000F743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Meningkatkan Kawasan Permukiman</w:t>
            </w:r>
          </w:p>
        </w:tc>
        <w:tc>
          <w:tcPr>
            <w:tcW w:w="1985" w:type="dxa"/>
            <w:vAlign w:val="center"/>
          </w:tcPr>
          <w:p w:rsidR="00FF4F3A" w:rsidRDefault="00FF4F3A" w:rsidP="00DF195B">
            <w:pPr>
              <w:jc w:val="center"/>
            </w:pPr>
            <w:r w:rsidRPr="00C933DC">
              <w:rPr>
                <w:rFonts w:asciiTheme="majorHAnsi" w:hAnsiTheme="majorHAnsi"/>
                <w:sz w:val="24"/>
                <w:szCs w:val="24"/>
              </w:rPr>
              <w:t>100%</w:t>
            </w:r>
          </w:p>
        </w:tc>
      </w:tr>
    </w:tbl>
    <w:p w:rsidR="00F70887" w:rsidRDefault="00F70887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0818CA" w:rsidRDefault="000818CA" w:rsidP="000F743D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245"/>
        <w:gridCol w:w="567"/>
        <w:gridCol w:w="3510"/>
      </w:tblGrid>
      <w:tr w:rsidR="00F70887" w:rsidTr="00FF4F3A">
        <w:trPr>
          <w:trHeight w:val="469"/>
        </w:trPr>
        <w:tc>
          <w:tcPr>
            <w:tcW w:w="5245" w:type="dxa"/>
          </w:tcPr>
          <w:p w:rsidR="00F70887" w:rsidRPr="00F70887" w:rsidRDefault="00F70887" w:rsidP="00FF4F3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887">
              <w:rPr>
                <w:rFonts w:ascii="Cambria" w:hAnsi="Cambria"/>
                <w:b/>
                <w:sz w:val="24"/>
                <w:szCs w:val="24"/>
              </w:rPr>
              <w:t>KEGIATAN</w:t>
            </w:r>
          </w:p>
        </w:tc>
        <w:tc>
          <w:tcPr>
            <w:tcW w:w="4077" w:type="dxa"/>
            <w:gridSpan w:val="2"/>
          </w:tcPr>
          <w:p w:rsidR="00F70887" w:rsidRDefault="00F70887" w:rsidP="00FF4F3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887">
              <w:rPr>
                <w:rFonts w:ascii="Cambria" w:hAnsi="Cambria"/>
                <w:b/>
                <w:sz w:val="24"/>
                <w:szCs w:val="24"/>
              </w:rPr>
              <w:t>ANGGARAN</w:t>
            </w:r>
          </w:p>
          <w:p w:rsidR="000818CA" w:rsidRDefault="000818CA" w:rsidP="00FF4F3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818CA" w:rsidRDefault="000818CA" w:rsidP="00FF4F3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BF6A57" w:rsidRPr="00F70887" w:rsidRDefault="00BF6A57" w:rsidP="00FF4F3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FF4F3A" w:rsidTr="00FF4F3A">
        <w:tc>
          <w:tcPr>
            <w:tcW w:w="5245" w:type="dxa"/>
          </w:tcPr>
          <w:p w:rsidR="00FF4F3A" w:rsidRPr="000F743D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Pelayanan Administrasi Perkantoran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1.345.378.000,00 </w:t>
            </w: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Peningkatan Sarana Dan Prasarana Aparatur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387.466.400,00 </w:t>
            </w:r>
          </w:p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Peningkatan Kapasitas Sumber Daya Aparatur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>30.000.000,00</w:t>
            </w: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Peningkatan Pengembangan Sistem Pelaporan Capaian Kinerja Dan Keuangan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>38.508.500,00</w:t>
            </w: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Pengembangan Perumahan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>1.152.454.000,00</w:t>
            </w: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Program Penataan Penguasaan, Pemilikan, Penggunaan dan Pemanfaatan Tanah 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1.815.558.000,00 </w:t>
            </w:r>
          </w:p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Penyelesaian Konflik – konflik Pertanahan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 xml:space="preserve">105.196.000,00 </w:t>
            </w:r>
          </w:p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Pembinaan dan Pengembangan Ketenagalistrikan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>2.546.474.100,00</w:t>
            </w: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Perbaikan Perumahan Akibat Bencana Alam/Sosial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FF4F3A" w:rsidRP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F4F3A" w:rsidTr="00FF4F3A">
        <w:tc>
          <w:tcPr>
            <w:tcW w:w="5245" w:type="dxa"/>
          </w:tcPr>
          <w:p w:rsidR="00FF4F3A" w:rsidRDefault="00FF4F3A" w:rsidP="00FF4F3A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Program Kawasan Permukiman</w:t>
            </w:r>
          </w:p>
        </w:tc>
        <w:tc>
          <w:tcPr>
            <w:tcW w:w="567" w:type="dxa"/>
          </w:tcPr>
          <w:p w:rsidR="00FF4F3A" w:rsidRPr="00F70887" w:rsidRDefault="00FF4F3A" w:rsidP="00FF4F3A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</w:tcPr>
          <w:p w:rsidR="00FF4F3A" w:rsidRDefault="00FF4F3A" w:rsidP="00FF4F3A">
            <w:pPr>
              <w:spacing w:after="0" w:line="240" w:lineRule="auto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FF4F3A">
              <w:rPr>
                <w:rFonts w:asciiTheme="majorHAnsi" w:hAnsiTheme="majorHAnsi"/>
                <w:sz w:val="24"/>
                <w:szCs w:val="24"/>
              </w:rPr>
              <w:t xml:space="preserve">Rp. </w:t>
            </w:r>
            <w:r w:rsidRPr="00FF4F3A">
              <w:rPr>
                <w:rFonts w:asciiTheme="majorHAnsi" w:hAnsiTheme="majorHAnsi" w:cs="Tahoma"/>
                <w:color w:val="000000"/>
                <w:sz w:val="24"/>
                <w:szCs w:val="24"/>
              </w:rPr>
              <w:t>28.965.000,00</w:t>
            </w:r>
          </w:p>
          <w:p w:rsidR="00FF4F3A" w:rsidRDefault="00FF4F3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818CA" w:rsidRDefault="000818C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818CA" w:rsidRDefault="000818C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818CA" w:rsidRPr="00FF4F3A" w:rsidRDefault="000818CA" w:rsidP="00FF4F3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A01BF3" w:rsidRDefault="00A01BF3" w:rsidP="00FF4F3A">
      <w:pPr>
        <w:spacing w:after="0" w:line="240" w:lineRule="auto"/>
        <w:ind w:left="504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 w:rsidR="00BF6A57">
        <w:rPr>
          <w:rFonts w:ascii="Cambria" w:hAnsi="Cambria"/>
          <w:sz w:val="24"/>
          <w:szCs w:val="24"/>
        </w:rPr>
        <w:t xml:space="preserve">ebing Tinggi,     </w:t>
      </w:r>
      <w:r w:rsidR="00CC43B2">
        <w:rPr>
          <w:rFonts w:ascii="Cambria" w:hAnsi="Cambria"/>
          <w:sz w:val="24"/>
          <w:szCs w:val="24"/>
        </w:rPr>
        <w:t>2018</w:t>
      </w:r>
    </w:p>
    <w:p w:rsidR="00A01BF3" w:rsidRDefault="00A01BF3" w:rsidP="000F743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A01BF3" w:rsidTr="00A01BF3">
        <w:tc>
          <w:tcPr>
            <w:tcW w:w="4789" w:type="dxa"/>
          </w:tcPr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Pihak Kedua,</w:t>
            </w:r>
          </w:p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A01BF3" w:rsidRPr="00DD4BAE" w:rsidRDefault="00A01BF3" w:rsidP="00A01BF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D4BAE">
              <w:rPr>
                <w:rFonts w:ascii="Cambria" w:hAnsi="Cambria"/>
                <w:b/>
                <w:sz w:val="24"/>
                <w:szCs w:val="24"/>
              </w:rPr>
              <w:t>H. SYAHRIL HANAFIAH</w:t>
            </w:r>
          </w:p>
        </w:tc>
        <w:tc>
          <w:tcPr>
            <w:tcW w:w="4789" w:type="dxa"/>
          </w:tcPr>
          <w:p w:rsidR="00A01BF3" w:rsidRDefault="00A01BF3" w:rsidP="00A01BF3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Pihak Pertama,</w:t>
            </w:r>
          </w:p>
          <w:p w:rsidR="00A01BF3" w:rsidRDefault="00A01BF3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A01BF3" w:rsidRDefault="00A01BF3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A01BF3" w:rsidRDefault="00A01BF3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A01BF3" w:rsidRDefault="00A01BF3" w:rsidP="000F743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BF6A57" w:rsidRPr="00791602" w:rsidRDefault="00CC43B2" w:rsidP="00BF6A5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DARNO BAKAR, SE.,MM</w:t>
            </w:r>
          </w:p>
          <w:p w:rsidR="00A01BF3" w:rsidRDefault="00BF6A57" w:rsidP="00BF6A5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91602">
              <w:rPr>
                <w:rFonts w:asciiTheme="majorHAnsi" w:hAnsiTheme="majorHAnsi"/>
                <w:b/>
                <w:sz w:val="24"/>
                <w:szCs w:val="24"/>
              </w:rPr>
              <w:t xml:space="preserve">NIP. </w:t>
            </w:r>
            <w:r w:rsidR="00CC43B2">
              <w:rPr>
                <w:rFonts w:asciiTheme="majorHAnsi" w:hAnsiTheme="majorHAnsi" w:cs="Arial"/>
                <w:b/>
                <w:sz w:val="24"/>
                <w:szCs w:val="24"/>
              </w:rPr>
              <w:t>196212281985121 001</w:t>
            </w:r>
          </w:p>
        </w:tc>
      </w:tr>
    </w:tbl>
    <w:p w:rsidR="00A01BF3" w:rsidRDefault="00A01BF3" w:rsidP="000F743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p w:rsidR="000818CA" w:rsidRDefault="000818CA" w:rsidP="00FD5556">
      <w:pPr>
        <w:rPr>
          <w:rFonts w:asciiTheme="majorHAnsi" w:hAnsiTheme="majorHAnsi"/>
          <w:sz w:val="24"/>
          <w:szCs w:val="24"/>
        </w:rPr>
      </w:pPr>
    </w:p>
    <w:sectPr w:rsidR="000818CA" w:rsidSect="000818CA">
      <w:pgSz w:w="12242" w:h="19278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32B93"/>
    <w:rsid w:val="00056C1D"/>
    <w:rsid w:val="00056CC8"/>
    <w:rsid w:val="00061AD3"/>
    <w:rsid w:val="000649DB"/>
    <w:rsid w:val="000818CA"/>
    <w:rsid w:val="000A3345"/>
    <w:rsid w:val="000B5AAE"/>
    <w:rsid w:val="000E1409"/>
    <w:rsid w:val="000F743D"/>
    <w:rsid w:val="00122923"/>
    <w:rsid w:val="00131AEF"/>
    <w:rsid w:val="00132B93"/>
    <w:rsid w:val="001508CB"/>
    <w:rsid w:val="0015251B"/>
    <w:rsid w:val="00190548"/>
    <w:rsid w:val="001A43A5"/>
    <w:rsid w:val="001A778E"/>
    <w:rsid w:val="002765A1"/>
    <w:rsid w:val="00282C0B"/>
    <w:rsid w:val="00282CCD"/>
    <w:rsid w:val="002A1DF7"/>
    <w:rsid w:val="002D0539"/>
    <w:rsid w:val="002D0A65"/>
    <w:rsid w:val="002F2031"/>
    <w:rsid w:val="00386F8A"/>
    <w:rsid w:val="00402D01"/>
    <w:rsid w:val="00422744"/>
    <w:rsid w:val="00450B0C"/>
    <w:rsid w:val="00450F14"/>
    <w:rsid w:val="00454D05"/>
    <w:rsid w:val="004C10E9"/>
    <w:rsid w:val="004E174E"/>
    <w:rsid w:val="004E58B4"/>
    <w:rsid w:val="00523534"/>
    <w:rsid w:val="005375E1"/>
    <w:rsid w:val="00537D19"/>
    <w:rsid w:val="005644DA"/>
    <w:rsid w:val="00593B65"/>
    <w:rsid w:val="005D740C"/>
    <w:rsid w:val="005E2556"/>
    <w:rsid w:val="006538F9"/>
    <w:rsid w:val="006769C9"/>
    <w:rsid w:val="00682307"/>
    <w:rsid w:val="0068470D"/>
    <w:rsid w:val="00695489"/>
    <w:rsid w:val="006C224E"/>
    <w:rsid w:val="006E5C95"/>
    <w:rsid w:val="00703368"/>
    <w:rsid w:val="00741A01"/>
    <w:rsid w:val="00743923"/>
    <w:rsid w:val="007562F2"/>
    <w:rsid w:val="00791602"/>
    <w:rsid w:val="007A7511"/>
    <w:rsid w:val="007C225C"/>
    <w:rsid w:val="007E060D"/>
    <w:rsid w:val="007E3584"/>
    <w:rsid w:val="0083093F"/>
    <w:rsid w:val="00884410"/>
    <w:rsid w:val="008B5047"/>
    <w:rsid w:val="008D427C"/>
    <w:rsid w:val="008E4A2F"/>
    <w:rsid w:val="008E7DD9"/>
    <w:rsid w:val="0093474F"/>
    <w:rsid w:val="009540DA"/>
    <w:rsid w:val="009574ED"/>
    <w:rsid w:val="009A4E6C"/>
    <w:rsid w:val="009C555B"/>
    <w:rsid w:val="009C6526"/>
    <w:rsid w:val="00A00F32"/>
    <w:rsid w:val="00A01BF3"/>
    <w:rsid w:val="00A03105"/>
    <w:rsid w:val="00A35489"/>
    <w:rsid w:val="00A52E8A"/>
    <w:rsid w:val="00A55567"/>
    <w:rsid w:val="00A9625F"/>
    <w:rsid w:val="00A969F0"/>
    <w:rsid w:val="00AF24BE"/>
    <w:rsid w:val="00B34358"/>
    <w:rsid w:val="00B665D9"/>
    <w:rsid w:val="00BD117F"/>
    <w:rsid w:val="00BF6A57"/>
    <w:rsid w:val="00BF7F0A"/>
    <w:rsid w:val="00C16076"/>
    <w:rsid w:val="00C42475"/>
    <w:rsid w:val="00C65011"/>
    <w:rsid w:val="00C74756"/>
    <w:rsid w:val="00C77094"/>
    <w:rsid w:val="00C95256"/>
    <w:rsid w:val="00C95822"/>
    <w:rsid w:val="00CB4379"/>
    <w:rsid w:val="00CC43B2"/>
    <w:rsid w:val="00CD082C"/>
    <w:rsid w:val="00CE2EFF"/>
    <w:rsid w:val="00D14DEC"/>
    <w:rsid w:val="00D265EA"/>
    <w:rsid w:val="00D3536B"/>
    <w:rsid w:val="00D5212B"/>
    <w:rsid w:val="00D549CE"/>
    <w:rsid w:val="00D63724"/>
    <w:rsid w:val="00D63F83"/>
    <w:rsid w:val="00D80743"/>
    <w:rsid w:val="00DB087E"/>
    <w:rsid w:val="00DB1B49"/>
    <w:rsid w:val="00DD3960"/>
    <w:rsid w:val="00DD4BAE"/>
    <w:rsid w:val="00DF195B"/>
    <w:rsid w:val="00E30080"/>
    <w:rsid w:val="00E83F3D"/>
    <w:rsid w:val="00EB0C4B"/>
    <w:rsid w:val="00F308FC"/>
    <w:rsid w:val="00F41637"/>
    <w:rsid w:val="00F44383"/>
    <w:rsid w:val="00F57068"/>
    <w:rsid w:val="00F70887"/>
    <w:rsid w:val="00FB48FA"/>
    <w:rsid w:val="00FB72BF"/>
    <w:rsid w:val="00FD48D1"/>
    <w:rsid w:val="00FD5556"/>
    <w:rsid w:val="00FF4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792A4-67AC-4EE5-8B93-8EDC5588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ASUS A455L</cp:lastModifiedBy>
  <cp:revision>18</cp:revision>
  <cp:lastPrinted>2018-02-12T02:34:00Z</cp:lastPrinted>
  <dcterms:created xsi:type="dcterms:W3CDTF">2017-03-08T02:35:00Z</dcterms:created>
  <dcterms:modified xsi:type="dcterms:W3CDTF">2018-05-20T14:30:00Z</dcterms:modified>
</cp:coreProperties>
</file>